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right"/>
        <w:tblLayout w:type="fixed"/>
        <w:tblCellMar>
          <w:left w:w="10" w:type="dxa"/>
          <w:right w:w="10" w:type="dxa"/>
        </w:tblCellMar>
        <w:tblLook w:val="04A0" w:firstRow="1" w:lastRow="0" w:firstColumn="1" w:lastColumn="0" w:noHBand="0" w:noVBand="1"/>
      </w:tblPr>
      <w:tblGrid>
        <w:gridCol w:w="1963"/>
        <w:gridCol w:w="154"/>
        <w:gridCol w:w="504"/>
        <w:gridCol w:w="240"/>
        <w:gridCol w:w="2270"/>
        <w:gridCol w:w="336"/>
        <w:gridCol w:w="370"/>
        <w:gridCol w:w="346"/>
      </w:tblGrid>
      <w:tr w:rsidR="006D7B18" w:rsidTr="001B1C35">
        <w:trPr>
          <w:trHeight w:val="20"/>
          <w:jc w:val="right"/>
        </w:trPr>
        <w:tc>
          <w:tcPr>
            <w:tcW w:w="1963" w:type="dxa"/>
            <w:shd w:val="clear" w:color="auto" w:fill="FFFFFF"/>
          </w:tcPr>
          <w:p w:rsidR="00240C44" w:rsidRPr="00240C44" w:rsidRDefault="00F93D3E" w:rsidP="001B1C35">
            <w:pPr>
              <w:widowControl/>
              <w:rPr>
                <w:rFonts w:ascii="Times New Roman" w:eastAsia="Times New Roman" w:hAnsi="Times New Roman" w:cs="Times New Roman"/>
                <w:b/>
                <w:bCs/>
                <w:i/>
                <w:iCs/>
                <w:color w:val="auto"/>
              </w:rPr>
            </w:pPr>
            <w:bookmarkStart w:id="0" w:name="_GoBack"/>
            <w:bookmarkEnd w:id="0"/>
            <w:r w:rsidRPr="00240C44">
              <w:rPr>
                <w:rFonts w:ascii="Times New Roman" w:eastAsia="Times New Roman" w:hAnsi="Times New Roman" w:cs="Times New Roman"/>
                <w:color w:val="auto"/>
                <w:lang w:val="en-US"/>
              </w:rPr>
              <w:t>Date</w:t>
            </w:r>
          </w:p>
        </w:tc>
        <w:tc>
          <w:tcPr>
            <w:tcW w:w="154" w:type="dxa"/>
            <w:shd w:val="clear" w:color="auto" w:fill="FFFFFF"/>
          </w:tcPr>
          <w:p w:rsidR="00240C44" w:rsidRPr="00240C44" w:rsidRDefault="00F93D3E"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w:t>
            </w:r>
          </w:p>
        </w:tc>
        <w:tc>
          <w:tcPr>
            <w:tcW w:w="504" w:type="dxa"/>
            <w:tcBorders>
              <w:bottom w:val="single" w:sz="4" w:space="0" w:color="auto"/>
            </w:tcBorders>
            <w:shd w:val="clear" w:color="auto" w:fill="FFFFFF"/>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01</w:t>
            </w:r>
          </w:p>
        </w:tc>
        <w:tc>
          <w:tcPr>
            <w:tcW w:w="240" w:type="dxa"/>
            <w:shd w:val="clear" w:color="auto" w:fill="FFFFFF"/>
          </w:tcPr>
          <w:p w:rsidR="00240C44" w:rsidRPr="00240C44" w:rsidRDefault="00F93D3E"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w:t>
            </w:r>
          </w:p>
        </w:tc>
        <w:tc>
          <w:tcPr>
            <w:tcW w:w="2270" w:type="dxa"/>
            <w:tcBorders>
              <w:bottom w:val="single" w:sz="4" w:space="0" w:color="auto"/>
            </w:tcBorders>
            <w:shd w:val="clear" w:color="auto" w:fill="FFFFFF"/>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March</w:t>
            </w:r>
          </w:p>
        </w:tc>
        <w:tc>
          <w:tcPr>
            <w:tcW w:w="336" w:type="dxa"/>
            <w:tcBorders>
              <w:bottom w:val="single" w:sz="4" w:space="0" w:color="auto"/>
            </w:tcBorders>
            <w:shd w:val="clear" w:color="auto" w:fill="FFFFFF"/>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20</w:t>
            </w:r>
          </w:p>
        </w:tc>
        <w:tc>
          <w:tcPr>
            <w:tcW w:w="370" w:type="dxa"/>
            <w:tcBorders>
              <w:bottom w:val="single" w:sz="4" w:space="0" w:color="auto"/>
            </w:tcBorders>
            <w:shd w:val="clear" w:color="auto" w:fill="FFFFFF"/>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18</w:t>
            </w:r>
          </w:p>
        </w:tc>
        <w:tc>
          <w:tcPr>
            <w:tcW w:w="346" w:type="dxa"/>
            <w:shd w:val="clear" w:color="auto" w:fill="FFFFFF"/>
          </w:tcPr>
          <w:p w:rsidR="00240C44" w:rsidRPr="00240C44" w:rsidRDefault="00F93D3E"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y.</w:t>
            </w:r>
          </w:p>
        </w:tc>
      </w:tr>
      <w:tr w:rsidR="006D7B18" w:rsidTr="001B1C35">
        <w:trPr>
          <w:trHeight w:val="20"/>
          <w:jc w:val="right"/>
        </w:trPr>
        <w:tc>
          <w:tcPr>
            <w:tcW w:w="6183" w:type="dxa"/>
            <w:gridSpan w:val="8"/>
            <w:shd w:val="clear" w:color="auto" w:fill="FFFFFF"/>
          </w:tcPr>
          <w:p w:rsidR="00240C44" w:rsidRPr="00240C44" w:rsidRDefault="00F93D3E" w:rsidP="001B1C35">
            <w:pPr>
              <w:widowControl/>
              <w:rPr>
                <w:rFonts w:ascii="Times New Roman" w:hAnsi="Times New Roman" w:cs="Times New Roman"/>
                <w:color w:val="auto"/>
              </w:rPr>
            </w:pPr>
          </w:p>
        </w:tc>
      </w:tr>
      <w:tr w:rsidR="006D7B18" w:rsidTr="001B1C35">
        <w:trPr>
          <w:trHeight w:val="20"/>
          <w:jc w:val="right"/>
        </w:trPr>
        <w:tc>
          <w:tcPr>
            <w:tcW w:w="6183" w:type="dxa"/>
            <w:gridSpan w:val="8"/>
            <w:shd w:val="clear" w:color="auto" w:fill="FFFFFF"/>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i/>
                <w:iCs/>
                <w:color w:val="auto"/>
                <w:lang w:val="en-US"/>
              </w:rPr>
              <w:t>Bank of Russia</w:t>
            </w:r>
          </w:p>
        </w:tc>
      </w:tr>
      <w:tr w:rsidR="006D7B18" w:rsidRPr="00487265" w:rsidTr="001B1C35">
        <w:trPr>
          <w:trHeight w:val="20"/>
          <w:jc w:val="right"/>
        </w:trPr>
        <w:tc>
          <w:tcPr>
            <w:tcW w:w="6183" w:type="dxa"/>
            <w:gridSpan w:val="8"/>
            <w:tcBorders>
              <w:top w:val="single" w:sz="4" w:space="0" w:color="auto"/>
            </w:tcBorders>
            <w:shd w:val="clear" w:color="auto" w:fill="FFFFFF"/>
          </w:tcPr>
          <w:p w:rsidR="00240C44" w:rsidRPr="00487265" w:rsidRDefault="00F93D3E" w:rsidP="001B1C35">
            <w:pPr>
              <w:widowControl/>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(the name of the registering agency is indicated)</w:t>
            </w:r>
          </w:p>
        </w:tc>
      </w:tr>
      <w:tr w:rsidR="006D7B18" w:rsidRPr="00487265" w:rsidTr="001B1C35">
        <w:trPr>
          <w:trHeight w:val="20"/>
          <w:jc w:val="right"/>
        </w:trPr>
        <w:tc>
          <w:tcPr>
            <w:tcW w:w="6183" w:type="dxa"/>
            <w:gridSpan w:val="8"/>
            <w:shd w:val="clear" w:color="auto" w:fill="FFFFFF"/>
          </w:tcPr>
          <w:p w:rsidR="00240C44" w:rsidRPr="00487265" w:rsidRDefault="00F93D3E" w:rsidP="001B1C35">
            <w:pPr>
              <w:widowControl/>
              <w:rPr>
                <w:rFonts w:ascii="Times New Roman" w:hAnsi="Times New Roman" w:cs="Times New Roman"/>
                <w:color w:val="auto"/>
                <w:lang w:val="en-US"/>
              </w:rPr>
            </w:pPr>
          </w:p>
        </w:tc>
      </w:tr>
      <w:tr w:rsidR="006D7B18" w:rsidRPr="00487265" w:rsidTr="001B1C35">
        <w:trPr>
          <w:trHeight w:val="20"/>
          <w:jc w:val="right"/>
        </w:trPr>
        <w:tc>
          <w:tcPr>
            <w:tcW w:w="6183" w:type="dxa"/>
            <w:gridSpan w:val="8"/>
            <w:shd w:val="clear" w:color="auto" w:fill="FFFFFF"/>
          </w:tcPr>
          <w:p w:rsidR="00240C44" w:rsidRPr="00487265" w:rsidRDefault="00F93D3E" w:rsidP="001B1C35">
            <w:pPr>
              <w:widowControl/>
              <w:rPr>
                <w:rFonts w:ascii="Times New Roman" w:hAnsi="Times New Roman" w:cs="Times New Roman"/>
                <w:color w:val="auto"/>
                <w:lang w:val="en-US"/>
              </w:rPr>
            </w:pPr>
          </w:p>
        </w:tc>
      </w:tr>
      <w:tr w:rsidR="006D7B18" w:rsidTr="001B1C35">
        <w:trPr>
          <w:trHeight w:val="20"/>
          <w:jc w:val="right"/>
        </w:trPr>
        <w:tc>
          <w:tcPr>
            <w:tcW w:w="6183" w:type="dxa"/>
            <w:gridSpan w:val="8"/>
            <w:tcBorders>
              <w:top w:val="single" w:sz="4" w:space="0" w:color="auto"/>
            </w:tcBorders>
            <w:shd w:val="clear" w:color="auto" w:fill="FFFFFF"/>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(signature of authorized person)</w:t>
            </w:r>
          </w:p>
        </w:tc>
      </w:tr>
      <w:tr w:rsidR="006D7B18" w:rsidTr="001B1C35">
        <w:trPr>
          <w:trHeight w:val="20"/>
          <w:jc w:val="right"/>
        </w:trPr>
        <w:tc>
          <w:tcPr>
            <w:tcW w:w="6183" w:type="dxa"/>
            <w:gridSpan w:val="8"/>
            <w:shd w:val="clear" w:color="auto" w:fill="FFFFFF"/>
          </w:tcPr>
          <w:p w:rsidR="00240C44" w:rsidRPr="00240C44" w:rsidRDefault="00F93D3E" w:rsidP="001B1C35">
            <w:pPr>
              <w:widowControl/>
              <w:rPr>
                <w:rFonts w:ascii="Times New Roman" w:hAnsi="Times New Roman" w:cs="Times New Roman"/>
                <w:color w:val="auto"/>
              </w:rPr>
            </w:pPr>
          </w:p>
        </w:tc>
      </w:tr>
      <w:tr w:rsidR="006D7B18" w:rsidRPr="00487265" w:rsidTr="001B1C35">
        <w:trPr>
          <w:trHeight w:val="20"/>
          <w:jc w:val="right"/>
        </w:trPr>
        <w:tc>
          <w:tcPr>
            <w:tcW w:w="6183" w:type="dxa"/>
            <w:gridSpan w:val="8"/>
            <w:shd w:val="clear" w:color="auto" w:fill="FFFFFF"/>
          </w:tcPr>
          <w:p w:rsidR="00240C44" w:rsidRPr="00487265" w:rsidRDefault="00F93D3E" w:rsidP="001B1C35">
            <w:pPr>
              <w:widowControl/>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(seal of the registering agency)</w:t>
            </w:r>
          </w:p>
        </w:tc>
      </w:tr>
    </w:tbl>
    <w:p w:rsidR="00240C44" w:rsidRPr="00487265" w:rsidRDefault="00F93D3E" w:rsidP="001B1C35">
      <w:pPr>
        <w:widowControl/>
        <w:spacing w:before="360" w:after="360"/>
        <w:jc w:val="center"/>
        <w:rPr>
          <w:rFonts w:ascii="Times New Roman" w:eastAsia="Times New Roman" w:hAnsi="Times New Roman" w:cs="Times New Roman"/>
          <w:b/>
          <w:bCs/>
          <w:color w:val="auto"/>
          <w:sz w:val="28"/>
          <w:szCs w:val="28"/>
          <w:lang w:val="en-US"/>
        </w:rPr>
      </w:pPr>
      <w:r w:rsidRPr="000B52EA">
        <w:rPr>
          <w:rFonts w:ascii="Times New Roman" w:eastAsia="Times New Roman" w:hAnsi="Times New Roman" w:cs="Times New Roman"/>
          <w:b/>
          <w:bCs/>
          <w:color w:val="auto"/>
          <w:sz w:val="28"/>
          <w:szCs w:val="28"/>
          <w:lang w:val="en-US"/>
        </w:rPr>
        <w:t>AMENDMENTS IN THE PROSPECTUS OF SECURITIES</w:t>
      </w:r>
    </w:p>
    <w:p w:rsidR="00240C44" w:rsidRPr="00487265" w:rsidRDefault="00F93D3E" w:rsidP="001B1C35">
      <w:pPr>
        <w:widowControl/>
        <w:spacing w:after="360"/>
        <w:jc w:val="center"/>
        <w:rPr>
          <w:rFonts w:ascii="Times New Roman" w:eastAsia="Times New Roman" w:hAnsi="Times New Roman" w:cs="Times New Roman"/>
          <w:b/>
          <w:bCs/>
          <w:i/>
          <w:iCs/>
          <w:color w:val="auto"/>
          <w:sz w:val="28"/>
          <w:szCs w:val="28"/>
          <w:lang w:val="en-US"/>
        </w:rPr>
      </w:pPr>
      <w:bookmarkStart w:id="1" w:name="bookmark1"/>
      <w:r w:rsidRPr="00240C44">
        <w:rPr>
          <w:rFonts w:ascii="Times New Roman" w:eastAsia="Times New Roman" w:hAnsi="Times New Roman" w:cs="Times New Roman"/>
          <w:b/>
          <w:bCs/>
          <w:i/>
          <w:iCs/>
          <w:color w:val="auto"/>
          <w:sz w:val="28"/>
          <w:szCs w:val="28"/>
          <w:lang w:val="en-US"/>
        </w:rPr>
        <w:t xml:space="preserve">Public Joint Stock Company «Interregional Distribution </w:t>
      </w:r>
      <w:bookmarkStart w:id="2" w:name="bookmark2"/>
      <w:bookmarkEnd w:id="1"/>
      <w:r w:rsidRPr="00240C44">
        <w:rPr>
          <w:rFonts w:ascii="Times New Roman" w:eastAsia="Times New Roman" w:hAnsi="Times New Roman" w:cs="Times New Roman"/>
          <w:b/>
          <w:bCs/>
          <w:i/>
          <w:iCs/>
          <w:color w:val="auto"/>
          <w:sz w:val="28"/>
          <w:szCs w:val="28"/>
          <w:lang w:val="en-US"/>
        </w:rPr>
        <w:t>Grid Company of South»</w:t>
      </w:r>
      <w:bookmarkEnd w:id="2"/>
    </w:p>
    <w:p w:rsidR="00240C44" w:rsidRPr="00487265" w:rsidRDefault="00F93D3E" w:rsidP="001B1C35">
      <w:pPr>
        <w:widowControl/>
        <w:spacing w:after="360"/>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b/>
          <w:bCs/>
          <w:i/>
          <w:iCs/>
          <w:color w:val="auto"/>
          <w:lang w:val="en-US"/>
        </w:rPr>
        <w:t xml:space="preserve">Ordinary registered uncertified shares a </w:t>
      </w:r>
      <w:r w:rsidRPr="00240C44">
        <w:rPr>
          <w:rFonts w:ascii="Times New Roman" w:eastAsia="Times New Roman" w:hAnsi="Times New Roman" w:cs="Times New Roman"/>
          <w:b/>
          <w:bCs/>
          <w:i/>
          <w:iCs/>
          <w:color w:val="auto"/>
          <w:lang w:val="en-US"/>
        </w:rPr>
        <w:br/>
        <w:t>nominal value of 10 (Ten) cents each</w:t>
      </w:r>
      <w:r w:rsidRPr="00240C44">
        <w:rPr>
          <w:rFonts w:ascii="Times New Roman" w:eastAsia="Times New Roman" w:hAnsi="Times New Roman" w:cs="Times New Roman"/>
          <w:b/>
          <w:bCs/>
          <w:i/>
          <w:iCs/>
          <w:color w:val="auto"/>
          <w:lang w:val="en-US"/>
        </w:rPr>
        <w:br/>
        <w:t xml:space="preserve"> in amount 13 015185 446 (thirteen billion and fifteen million one hundred and </w:t>
      </w:r>
      <w:r w:rsidRPr="00240C44">
        <w:rPr>
          <w:rFonts w:ascii="Times New Roman" w:eastAsia="Times New Roman" w:hAnsi="Times New Roman" w:cs="Times New Roman"/>
          <w:b/>
          <w:bCs/>
          <w:i/>
          <w:iCs/>
          <w:color w:val="auto"/>
          <w:lang w:val="en-US"/>
        </w:rPr>
        <w:br/>
        <w:t>eighty-five thousan</w:t>
      </w:r>
      <w:r w:rsidRPr="00240C44">
        <w:rPr>
          <w:rFonts w:ascii="Times New Roman" w:eastAsia="Times New Roman" w:hAnsi="Times New Roman" w:cs="Times New Roman"/>
          <w:b/>
          <w:bCs/>
          <w:i/>
          <w:iCs/>
          <w:color w:val="auto"/>
          <w:lang w:val="en-US"/>
        </w:rPr>
        <w:t>d four hundred and forty-six) pieces</w:t>
      </w:r>
    </w:p>
    <w:tbl>
      <w:tblPr>
        <w:tblOverlap w:val="never"/>
        <w:tblW w:w="5000" w:type="pct"/>
        <w:tblCellMar>
          <w:left w:w="10" w:type="dxa"/>
          <w:right w:w="10" w:type="dxa"/>
        </w:tblCellMar>
        <w:tblLook w:val="04A0" w:firstRow="1" w:lastRow="0" w:firstColumn="1" w:lastColumn="0" w:noHBand="0" w:noVBand="1"/>
      </w:tblPr>
      <w:tblGrid>
        <w:gridCol w:w="2319"/>
        <w:gridCol w:w="405"/>
        <w:gridCol w:w="411"/>
        <w:gridCol w:w="391"/>
        <w:gridCol w:w="360"/>
        <w:gridCol w:w="402"/>
        <w:gridCol w:w="412"/>
        <w:gridCol w:w="406"/>
        <w:gridCol w:w="402"/>
        <w:gridCol w:w="380"/>
        <w:gridCol w:w="412"/>
        <w:gridCol w:w="402"/>
        <w:gridCol w:w="406"/>
        <w:gridCol w:w="2883"/>
      </w:tblGrid>
      <w:tr w:rsidR="006D7B18" w:rsidRPr="00487265" w:rsidTr="001B1C35">
        <w:trPr>
          <w:trHeight w:val="340"/>
        </w:trPr>
        <w:tc>
          <w:tcPr>
            <w:tcW w:w="5000" w:type="pct"/>
            <w:gridSpan w:val="14"/>
            <w:shd w:val="clear" w:color="auto" w:fill="FFFFFF"/>
            <w:vAlign w:val="center"/>
          </w:tcPr>
          <w:p w:rsidR="00240C44" w:rsidRPr="00487265" w:rsidRDefault="00F93D3E" w:rsidP="001B1C35">
            <w:pPr>
              <w:widowControl/>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State registration number of additional issue of securities</w:t>
            </w:r>
          </w:p>
        </w:tc>
      </w:tr>
      <w:tr w:rsidR="006D7B18" w:rsidTr="001B1C35">
        <w:trPr>
          <w:trHeight w:val="340"/>
        </w:trPr>
        <w:tc>
          <w:tcPr>
            <w:tcW w:w="1161" w:type="pct"/>
            <w:tcBorders>
              <w:right w:val="single" w:sz="4" w:space="0" w:color="auto"/>
            </w:tcBorders>
            <w:shd w:val="clear" w:color="auto" w:fill="FFFFFF"/>
            <w:vAlign w:val="center"/>
          </w:tcPr>
          <w:p w:rsidR="00240C44" w:rsidRPr="00487265" w:rsidRDefault="00F93D3E" w:rsidP="001B1C35">
            <w:pPr>
              <w:widowControl/>
              <w:jc w:val="center"/>
              <w:rPr>
                <w:rFonts w:ascii="Times New Roman" w:hAnsi="Times New Roman" w:cs="Times New Roman"/>
                <w:color w:val="auto"/>
                <w:lang w:val="en-US"/>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1B1C35">
              <w:rPr>
                <w:rFonts w:ascii="Times New Roman" w:eastAsia="Times New Roman" w:hAnsi="Times New Roman" w:cs="Times New Roman"/>
                <w:b/>
                <w:color w:val="auto"/>
                <w:lang w:val="en-US" w:eastAsia="en-US" w:bidi="en-US"/>
              </w:rPr>
              <w:t>1</w:t>
            </w:r>
          </w:p>
        </w:tc>
        <w:tc>
          <w:tcPr>
            <w:tcW w:w="206" w:type="pct"/>
            <w:tcBorders>
              <w:left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Cs/>
                <w:i/>
                <w:iCs/>
                <w:color w:val="auto"/>
              </w:rPr>
            </w:pPr>
            <w:r w:rsidRPr="001B1C35">
              <w:rPr>
                <w:rFonts w:ascii="Times New Roman" w:eastAsia="Times New Roman" w:hAnsi="Times New Roman" w:cs="Times New Roman"/>
                <w:bCs/>
                <w:color w:val="auto"/>
                <w:lang w:val="en-US"/>
              </w:rPr>
              <w:t>–</w:t>
            </w:r>
          </w:p>
        </w:tc>
        <w:tc>
          <w:tcPr>
            <w:tcW w:w="196"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0</w:t>
            </w:r>
          </w:p>
        </w:tc>
        <w:tc>
          <w:tcPr>
            <w:tcW w:w="180"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1</w:t>
            </w:r>
          </w:p>
        </w:tc>
        <w:tc>
          <w:tcPr>
            <w:tcW w:w="201" w:type="pct"/>
            <w:tcBorders>
              <w:left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1B1C35">
              <w:rPr>
                <w:rFonts w:ascii="Times New Roman" w:eastAsia="Times New Roman" w:hAnsi="Times New Roman" w:cs="Times New Roman"/>
                <w:bCs/>
                <w:color w:val="auto"/>
                <w:lang w:val="en-US"/>
              </w:rPr>
              <w:t>–</w:t>
            </w:r>
          </w:p>
        </w:tc>
        <w:tc>
          <w:tcPr>
            <w:tcW w:w="206"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3</w:t>
            </w:r>
          </w:p>
        </w:tc>
        <w:tc>
          <w:tcPr>
            <w:tcW w:w="203"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4</w:t>
            </w:r>
          </w:p>
        </w:tc>
        <w:tc>
          <w:tcPr>
            <w:tcW w:w="201"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9</w:t>
            </w:r>
          </w:p>
        </w:tc>
        <w:tc>
          <w:tcPr>
            <w:tcW w:w="190"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5</w:t>
            </w:r>
          </w:p>
        </w:tc>
        <w:tc>
          <w:tcPr>
            <w:tcW w:w="206"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6</w:t>
            </w:r>
          </w:p>
        </w:tc>
        <w:tc>
          <w:tcPr>
            <w:tcW w:w="201" w:type="pct"/>
            <w:tcBorders>
              <w:left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1B1C35">
              <w:rPr>
                <w:rFonts w:ascii="Times New Roman" w:eastAsia="Times New Roman" w:hAnsi="Times New Roman" w:cs="Times New Roman"/>
                <w:bCs/>
                <w:color w:val="auto"/>
                <w:lang w:val="en-US"/>
              </w:rPr>
              <w:t>–</w:t>
            </w:r>
          </w:p>
        </w:tc>
        <w:tc>
          <w:tcPr>
            <w:tcW w:w="203" w:type="pct"/>
            <w:tcBorders>
              <w:top w:val="single" w:sz="4" w:space="0" w:color="auto"/>
              <w:left w:val="single" w:sz="4" w:space="0" w:color="auto"/>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eastAsia="en-US" w:bidi="en-US"/>
              </w:rPr>
              <w:t>E</w:t>
            </w:r>
          </w:p>
        </w:tc>
        <w:tc>
          <w:tcPr>
            <w:tcW w:w="1441" w:type="pct"/>
            <w:tcBorders>
              <w:left w:val="single" w:sz="4" w:space="0" w:color="auto"/>
            </w:tcBorders>
            <w:shd w:val="clear" w:color="auto" w:fill="FFFFFF"/>
            <w:vAlign w:val="center"/>
          </w:tcPr>
          <w:p w:rsidR="00240C44" w:rsidRPr="00240C44" w:rsidRDefault="00F93D3E" w:rsidP="001B1C35">
            <w:pPr>
              <w:widowControl/>
              <w:jc w:val="center"/>
              <w:rPr>
                <w:rFonts w:ascii="Times New Roman" w:hAnsi="Times New Roman" w:cs="Times New Roman"/>
                <w:color w:val="auto"/>
              </w:rPr>
            </w:pPr>
          </w:p>
        </w:tc>
      </w:tr>
    </w:tbl>
    <w:p w:rsidR="00240C44" w:rsidRPr="00487265" w:rsidRDefault="00F93D3E" w:rsidP="001B1C35">
      <w:pPr>
        <w:widowControl/>
        <w:spacing w:before="360"/>
        <w:jc w:val="center"/>
        <w:rPr>
          <w:rFonts w:ascii="Times New Roman" w:eastAsia="Times New Roman" w:hAnsi="Times New Roman" w:cs="Times New Roman"/>
          <w:color w:val="auto"/>
          <w:lang w:val="en-US"/>
        </w:rPr>
      </w:pPr>
      <w:r w:rsidRPr="00240C44">
        <w:rPr>
          <w:rFonts w:ascii="Times New Roman" w:eastAsia="Times New Roman" w:hAnsi="Times New Roman" w:cs="Times New Roman"/>
          <w:color w:val="auto"/>
          <w:lang w:val="en-US"/>
        </w:rPr>
        <w:t>Date of state registration of additional stock issue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
        <w:gridCol w:w="456"/>
        <w:gridCol w:w="221"/>
        <w:gridCol w:w="1450"/>
        <w:gridCol w:w="341"/>
        <w:gridCol w:w="355"/>
        <w:gridCol w:w="518"/>
      </w:tblGrid>
      <w:tr w:rsidR="006D7B18" w:rsidTr="001B1C35">
        <w:trPr>
          <w:trHeight w:val="274"/>
          <w:jc w:val="center"/>
        </w:trPr>
        <w:tc>
          <w:tcPr>
            <w:tcW w:w="173" w:type="dxa"/>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w:t>
            </w:r>
          </w:p>
        </w:tc>
        <w:tc>
          <w:tcPr>
            <w:tcW w:w="456" w:type="dxa"/>
            <w:tcBorders>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01</w:t>
            </w:r>
          </w:p>
        </w:tc>
        <w:tc>
          <w:tcPr>
            <w:tcW w:w="221" w:type="dxa"/>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w:t>
            </w:r>
          </w:p>
        </w:tc>
        <w:tc>
          <w:tcPr>
            <w:tcW w:w="1450" w:type="dxa"/>
            <w:tcBorders>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of June</w:t>
            </w:r>
          </w:p>
        </w:tc>
        <w:tc>
          <w:tcPr>
            <w:tcW w:w="341" w:type="dxa"/>
            <w:tcBorders>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20</w:t>
            </w:r>
          </w:p>
        </w:tc>
        <w:tc>
          <w:tcPr>
            <w:tcW w:w="355" w:type="dxa"/>
            <w:tcBorders>
              <w:bottom w:val="single" w:sz="4" w:space="0" w:color="auto"/>
            </w:tcBorders>
            <w:shd w:val="clear" w:color="auto" w:fill="FFFFFF"/>
            <w:vAlign w:val="center"/>
          </w:tcPr>
          <w:p w:rsidR="00240C44" w:rsidRPr="00240C44" w:rsidRDefault="00F93D3E"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17</w:t>
            </w:r>
          </w:p>
        </w:tc>
        <w:tc>
          <w:tcPr>
            <w:tcW w:w="518" w:type="dxa"/>
            <w:shd w:val="clear" w:color="auto" w:fill="FFFFFF"/>
            <w:vAlign w:val="center"/>
          </w:tcPr>
          <w:p w:rsidR="00240C44" w:rsidRPr="00240C44" w:rsidRDefault="00F93D3E"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y.</w:t>
            </w:r>
          </w:p>
        </w:tc>
      </w:tr>
    </w:tbl>
    <w:p w:rsidR="00240C44" w:rsidRPr="00487265" w:rsidRDefault="00F93D3E" w:rsidP="001B1C35">
      <w:pPr>
        <w:widowControl/>
        <w:spacing w:before="360" w:after="480"/>
        <w:jc w:val="both"/>
        <w:rPr>
          <w:rFonts w:ascii="Times New Roman" w:eastAsia="Times New Roman" w:hAnsi="Times New Roman" w:cs="Times New Roman"/>
          <w:color w:val="auto"/>
          <w:lang w:val="en-US"/>
        </w:rPr>
      </w:pPr>
      <w:r w:rsidRPr="00240C44">
        <w:rPr>
          <w:rFonts w:ascii="Times New Roman" w:eastAsia="Times New Roman" w:hAnsi="Times New Roman" w:cs="Times New Roman"/>
          <w:color w:val="auto"/>
          <w:lang w:val="en-US"/>
        </w:rPr>
        <w:t>Amendments make by the Board of Directors PJSC «IDGC of the South», adopted on January 29, 2018, the Protocol of January 31, 2018 N 257/2018.</w:t>
      </w:r>
    </w:p>
    <w:p w:rsidR="00240C44" w:rsidRPr="00487265" w:rsidRDefault="00F93D3E" w:rsidP="001B1C35">
      <w:pPr>
        <w:widowControl/>
        <w:spacing w:after="720"/>
        <w:jc w:val="both"/>
        <w:rPr>
          <w:rFonts w:ascii="Times New Roman" w:eastAsia="Times New Roman" w:hAnsi="Times New Roman" w:cs="Times New Roman"/>
          <w:color w:val="auto"/>
          <w:lang w:val="en-US"/>
        </w:rPr>
      </w:pPr>
      <w:r w:rsidRPr="00240C44">
        <w:rPr>
          <w:rFonts w:ascii="Times New Roman" w:eastAsia="Times New Roman" w:hAnsi="Times New Roman" w:cs="Times New Roman"/>
          <w:color w:val="auto"/>
          <w:lang w:val="en-US"/>
        </w:rPr>
        <w:t xml:space="preserve">Location of the </w:t>
      </w:r>
      <w:r w:rsidRPr="00240C44">
        <w:rPr>
          <w:rFonts w:ascii="Times New Roman" w:eastAsia="Times New Roman" w:hAnsi="Times New Roman" w:cs="Times New Roman"/>
          <w:color w:val="auto"/>
          <w:lang w:val="en-US"/>
        </w:rPr>
        <w:t>issuer and contact telephone numbers: Rostov-on-Don, Russian Federation; +7 (863) 307-08-38.</w:t>
      </w:r>
    </w:p>
    <w:tbl>
      <w:tblPr>
        <w:tblOverlap w:val="never"/>
        <w:tblW w:w="5000" w:type="pct"/>
        <w:tblCellMar>
          <w:left w:w="10" w:type="dxa"/>
          <w:right w:w="10" w:type="dxa"/>
        </w:tblCellMar>
        <w:tblLook w:val="04A0" w:firstRow="1" w:lastRow="0" w:firstColumn="1" w:lastColumn="0" w:noHBand="0" w:noVBand="1"/>
      </w:tblPr>
      <w:tblGrid>
        <w:gridCol w:w="5559"/>
        <w:gridCol w:w="2196"/>
        <w:gridCol w:w="2236"/>
      </w:tblGrid>
      <w:tr w:rsidR="006D7B18" w:rsidTr="001B1C35">
        <w:trPr>
          <w:trHeight w:val="283"/>
        </w:trPr>
        <w:tc>
          <w:tcPr>
            <w:tcW w:w="2782" w:type="pct"/>
            <w:shd w:val="clear" w:color="auto" w:fill="FFFFFF"/>
          </w:tcPr>
          <w:p w:rsidR="00240C44" w:rsidRPr="00487265" w:rsidRDefault="00F93D3E" w:rsidP="001B1C35">
            <w:pPr>
              <w:widowControl/>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Chief Executive Officer PJSC «IDGC of the South»</w:t>
            </w:r>
          </w:p>
        </w:tc>
        <w:tc>
          <w:tcPr>
            <w:tcW w:w="1099" w:type="pct"/>
            <w:shd w:val="clear" w:color="auto" w:fill="FFFFFF"/>
          </w:tcPr>
          <w:p w:rsidR="00240C44" w:rsidRPr="00487265" w:rsidRDefault="00F93D3E" w:rsidP="001B1C35">
            <w:pPr>
              <w:widowControl/>
              <w:rPr>
                <w:rFonts w:ascii="Times New Roman" w:hAnsi="Times New Roman" w:cs="Times New Roman"/>
                <w:color w:val="auto"/>
                <w:lang w:val="en-US"/>
              </w:rPr>
            </w:pPr>
          </w:p>
        </w:tc>
        <w:tc>
          <w:tcPr>
            <w:tcW w:w="1120" w:type="pct"/>
            <w:shd w:val="clear" w:color="auto" w:fill="FFFFFF"/>
          </w:tcPr>
          <w:p w:rsidR="00240C44" w:rsidRPr="00240C44" w:rsidRDefault="00F93D3E" w:rsidP="001B1C35">
            <w:pPr>
              <w:widowControl/>
              <w:jc w:val="right"/>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B. B. Ebzeyev</w:t>
            </w:r>
          </w:p>
        </w:tc>
      </w:tr>
      <w:tr w:rsidR="006D7B18" w:rsidTr="001B1C35">
        <w:trPr>
          <w:trHeight w:val="283"/>
        </w:trPr>
        <w:tc>
          <w:tcPr>
            <w:tcW w:w="2782" w:type="pct"/>
            <w:shd w:val="clear" w:color="auto" w:fill="FFFFFF"/>
          </w:tcPr>
          <w:p w:rsidR="00240C44" w:rsidRPr="00240C44" w:rsidRDefault="00F93D3E" w:rsidP="001B1C35">
            <w:pPr>
              <w:widowControl/>
              <w:rPr>
                <w:rFonts w:ascii="Times New Roman" w:hAnsi="Times New Roman" w:cs="Times New Roman"/>
                <w:color w:val="auto"/>
              </w:rPr>
            </w:pPr>
          </w:p>
        </w:tc>
        <w:tc>
          <w:tcPr>
            <w:tcW w:w="1099" w:type="pct"/>
            <w:tcBorders>
              <w:top w:val="single" w:sz="4" w:space="0" w:color="auto"/>
            </w:tcBorders>
            <w:shd w:val="clear" w:color="auto" w:fill="FFFFFF"/>
          </w:tcPr>
          <w:p w:rsidR="00240C44" w:rsidRPr="00240C44" w:rsidRDefault="00F93D3E" w:rsidP="001B1C35">
            <w:pPr>
              <w:widowControl/>
              <w:rPr>
                <w:rFonts w:ascii="Times New Roman" w:hAnsi="Times New Roman" w:cs="Times New Roman"/>
                <w:color w:val="auto"/>
              </w:rPr>
            </w:pPr>
          </w:p>
        </w:tc>
        <w:tc>
          <w:tcPr>
            <w:tcW w:w="1120" w:type="pct"/>
            <w:shd w:val="clear" w:color="auto" w:fill="FFFFFF"/>
          </w:tcPr>
          <w:p w:rsidR="00240C44" w:rsidRPr="00240C44" w:rsidRDefault="00F93D3E" w:rsidP="001B1C35">
            <w:pPr>
              <w:widowControl/>
              <w:rPr>
                <w:rFonts w:ascii="Times New Roman" w:hAnsi="Times New Roman" w:cs="Times New Roman"/>
                <w:color w:val="auto"/>
              </w:rPr>
            </w:pPr>
          </w:p>
        </w:tc>
      </w:tr>
      <w:tr w:rsidR="006D7B18" w:rsidTr="001B1C35">
        <w:trPr>
          <w:trHeight w:val="283"/>
        </w:trPr>
        <w:tc>
          <w:tcPr>
            <w:tcW w:w="2782" w:type="pct"/>
            <w:shd w:val="clear" w:color="auto" w:fill="FFFFFF"/>
          </w:tcPr>
          <w:p w:rsidR="00240C44" w:rsidRPr="00240C44" w:rsidRDefault="00F93D3E"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«01» February, 2018</w:t>
            </w:r>
          </w:p>
        </w:tc>
        <w:tc>
          <w:tcPr>
            <w:tcW w:w="1099" w:type="pct"/>
            <w:shd w:val="clear" w:color="auto" w:fill="FFFFFF"/>
          </w:tcPr>
          <w:p w:rsidR="00240C44" w:rsidRPr="00240C44" w:rsidRDefault="00F93D3E" w:rsidP="001B1C35">
            <w:pPr>
              <w:widowControl/>
              <w:jc w:val="right"/>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STAMP HERE.</w:t>
            </w:r>
          </w:p>
        </w:tc>
        <w:tc>
          <w:tcPr>
            <w:tcW w:w="1120" w:type="pct"/>
            <w:shd w:val="clear" w:color="auto" w:fill="FFFFFF"/>
          </w:tcPr>
          <w:p w:rsidR="00240C44" w:rsidRPr="00240C44" w:rsidRDefault="00F93D3E" w:rsidP="001B1C35">
            <w:pPr>
              <w:widowControl/>
              <w:rPr>
                <w:rFonts w:ascii="Times New Roman" w:hAnsi="Times New Roman" w:cs="Times New Roman"/>
                <w:color w:val="auto"/>
              </w:rPr>
            </w:pPr>
          </w:p>
        </w:tc>
      </w:tr>
    </w:tbl>
    <w:p w:rsidR="000B52EA" w:rsidRPr="003F4887" w:rsidRDefault="00F93D3E" w:rsidP="000B52EA">
      <w:pPr>
        <w:spacing w:after="240"/>
        <w:jc w:val="both"/>
        <w:rPr>
          <w:rFonts w:ascii="Times New Roman" w:eastAsia="Times New Roman" w:hAnsi="Times New Roman" w:cs="Times New Roman"/>
          <w:color w:val="auto"/>
        </w:rPr>
      </w:pPr>
      <w:r w:rsidRPr="003F4887">
        <w:rPr>
          <w:rFonts w:ascii="Times New Roman" w:eastAsia="Times New Roman" w:hAnsi="Times New Roman" w:cs="Times New Roman"/>
          <w:color w:val="auto"/>
          <w:lang w:val="en-US"/>
        </w:rPr>
        <w:br w:type="page"/>
      </w:r>
      <w:r w:rsidRPr="003F4887">
        <w:rPr>
          <w:rFonts w:ascii="Times New Roman" w:eastAsia="Times New Roman" w:hAnsi="Times New Roman" w:cs="Times New Roman"/>
          <w:color w:val="auto"/>
          <w:lang w:val="en-US"/>
        </w:rPr>
        <w:lastRenderedPageBreak/>
        <w:t xml:space="preserve">Information included in the text of amendments in the </w:t>
      </w:r>
      <w:r w:rsidRPr="003F4887">
        <w:rPr>
          <w:rFonts w:ascii="Times New Roman" w:eastAsia="Times New Roman" w:hAnsi="Times New Roman" w:cs="Times New Roman"/>
          <w:color w:val="auto"/>
          <w:lang w:val="en-US"/>
        </w:rPr>
        <w:t>prospectus of securities</w:t>
      </w:r>
    </w:p>
    <w:p w:rsidR="000B52EA" w:rsidRPr="000B52EA" w:rsidRDefault="00F93D3E" w:rsidP="000B52EA">
      <w:pPr>
        <w:widowControl/>
        <w:jc w:val="both"/>
        <w:rPr>
          <w:rFonts w:ascii="Times New Roman" w:eastAsia="Times New Roman" w:hAnsi="Times New Roman" w:cs="Times New Roman"/>
          <w:b/>
          <w:bCs/>
          <w:color w:val="auto"/>
        </w:rPr>
      </w:pPr>
      <w:r w:rsidRPr="000B52EA">
        <w:rPr>
          <w:rFonts w:ascii="Times New Roman" w:eastAsia="Times New Roman" w:hAnsi="Times New Roman" w:cs="Times New Roman"/>
          <w:b/>
          <w:bCs/>
          <w:color w:val="auto"/>
          <w:lang w:val="en-US"/>
        </w:rPr>
        <w:t>1.</w:t>
      </w:r>
      <w:r w:rsidRPr="000B52EA">
        <w:rPr>
          <w:rFonts w:ascii="Times New Roman" w:eastAsia="Times New Roman" w:hAnsi="Times New Roman" w:cs="Times New Roman"/>
          <w:b/>
          <w:bCs/>
          <w:color w:val="auto"/>
          <w:lang w:val="en-US"/>
        </w:rPr>
        <w:tab/>
        <w:t>1. Text of the amended version of the prospectus of securities (with specifying sections, items, paragraphs):</w:t>
      </w:r>
    </w:p>
    <w:p w:rsidR="000B52EA" w:rsidRPr="000B52EA" w:rsidRDefault="00F93D3E" w:rsidP="000B52EA">
      <w:pPr>
        <w:widowControl/>
        <w:spacing w:after="240"/>
        <w:jc w:val="both"/>
        <w:rPr>
          <w:rFonts w:ascii="Times New Roman" w:eastAsia="Times New Roman" w:hAnsi="Times New Roman" w:cs="Times New Roman"/>
          <w:color w:val="auto"/>
        </w:rPr>
      </w:pPr>
      <w:r w:rsidRPr="000B52EA">
        <w:rPr>
          <w:rFonts w:ascii="Times New Roman" w:eastAsia="Times New Roman" w:hAnsi="Times New Roman" w:cs="Times New Roman"/>
          <w:color w:val="auto"/>
          <w:lang w:val="en-US"/>
        </w:rPr>
        <w:t>Paragraph 10, sub-item «Securities Placement Procedure» of item b) «Main information of securities Placed by the Issue</w:t>
      </w:r>
      <w:r w:rsidRPr="000B52EA">
        <w:rPr>
          <w:rFonts w:ascii="Times New Roman" w:eastAsia="Times New Roman" w:hAnsi="Times New Roman" w:cs="Times New Roman"/>
          <w:color w:val="auto"/>
          <w:lang w:val="en-US"/>
        </w:rPr>
        <w:t>r, in respect of which prospectus is Registered», INTRODUCTION of the Securities Prospectus:</w:t>
      </w:r>
    </w:p>
    <w:p w:rsidR="000B52EA" w:rsidRPr="00487265" w:rsidRDefault="00F93D3E" w:rsidP="000B52EA">
      <w:pPr>
        <w:widowControl/>
        <w:spacing w:after="240"/>
        <w:jc w:val="both"/>
        <w:rPr>
          <w:rFonts w:ascii="Times New Roman" w:eastAsia="Times New Roman" w:hAnsi="Times New Roman" w:cs="Times New Roman"/>
          <w:b/>
          <w:bCs/>
          <w:i/>
          <w:iCs/>
          <w:color w:val="auto"/>
          <w:lang w:val="en-US"/>
        </w:rPr>
      </w:pPr>
      <w:r w:rsidRPr="000B52EA">
        <w:rPr>
          <w:rFonts w:ascii="Times New Roman" w:eastAsia="Times New Roman" w:hAnsi="Times New Roman" w:cs="Times New Roman"/>
          <w:b/>
          <w:bCs/>
          <w:i/>
          <w:iCs/>
          <w:color w:val="auto"/>
          <w:lang w:val="en-US"/>
        </w:rPr>
        <w:t xml:space="preserve">Proposals (offers) for the acquisition of additional shares (further – «Offer») can be submitted to the issuer within 185 (one hundred and eighty-five) calendar </w:t>
      </w:r>
      <w:r w:rsidRPr="000B52EA">
        <w:rPr>
          <w:rFonts w:ascii="Times New Roman" w:eastAsia="Times New Roman" w:hAnsi="Times New Roman" w:cs="Times New Roman"/>
          <w:b/>
          <w:bCs/>
          <w:i/>
          <w:iCs/>
          <w:color w:val="auto"/>
          <w:lang w:val="en-US"/>
        </w:rPr>
        <w:t>days from the moment of execution by the issuer of the last of these actions: the publication by the issuer of an invitation to make offers in the news feed of the news agency «Interfax», the publication by the issuer of an invitation to make offers on the</w:t>
      </w:r>
      <w:r w:rsidRPr="000B52EA">
        <w:rPr>
          <w:rFonts w:ascii="Times New Roman" w:eastAsia="Times New Roman" w:hAnsi="Times New Roman" w:cs="Times New Roman"/>
          <w:b/>
          <w:bCs/>
          <w:i/>
          <w:iCs/>
          <w:color w:val="auto"/>
          <w:lang w:val="en-US"/>
        </w:rPr>
        <w:t xml:space="preserve"> issuer’s pages on the Internet (</w:t>
      </w:r>
      <w:hyperlink r:id="rId7" w:history="1">
        <w:r w:rsidRPr="000B52EA">
          <w:rPr>
            <w:rFonts w:ascii="Times New Roman" w:eastAsia="Times New Roman" w:hAnsi="Times New Roman" w:cs="Times New Roman"/>
            <w:b/>
            <w:bCs/>
            <w:i/>
            <w:iCs/>
            <w:color w:val="auto"/>
            <w:lang w:val="en-US" w:eastAsia="en-US" w:bidi="en-US"/>
          </w:rPr>
          <w:t>http://www.e-disclosure.ru/portal/company.aspx?id=11999</w:t>
        </w:r>
      </w:hyperlink>
      <w:r w:rsidRPr="000B52EA">
        <w:rPr>
          <w:rFonts w:ascii="Times New Roman" w:eastAsia="Times New Roman" w:hAnsi="Times New Roman" w:cs="Times New Roman"/>
          <w:b/>
          <w:bCs/>
          <w:i/>
          <w:iCs/>
          <w:color w:val="auto"/>
          <w:lang w:val="en-US"/>
        </w:rPr>
        <w:t xml:space="preserve"> and </w:t>
      </w:r>
      <w:hyperlink r:id="rId8" w:history="1">
        <w:r w:rsidRPr="000B52EA">
          <w:rPr>
            <w:rFonts w:ascii="Times New Roman" w:eastAsia="Times New Roman" w:hAnsi="Times New Roman" w:cs="Times New Roman"/>
            <w:b/>
            <w:bCs/>
            <w:i/>
            <w:iCs/>
            <w:color w:val="auto"/>
            <w:u w:val="single"/>
            <w:lang w:val="en-US" w:eastAsia="en-US" w:bidi="en-US"/>
          </w:rPr>
          <w:t>http://www.mrsk-yu8a.ru/).</w:t>
        </w:r>
      </w:hyperlink>
    </w:p>
    <w:p w:rsidR="000B52EA" w:rsidRPr="00487265" w:rsidRDefault="00F93D3E" w:rsidP="000B52EA">
      <w:pPr>
        <w:widowControl/>
        <w:jc w:val="both"/>
        <w:rPr>
          <w:rFonts w:ascii="Times New Roman" w:eastAsia="Times New Roman" w:hAnsi="Times New Roman" w:cs="Times New Roman"/>
          <w:b/>
          <w:bCs/>
          <w:color w:val="auto"/>
          <w:lang w:val="en-US"/>
        </w:rPr>
      </w:pPr>
      <w:r w:rsidRPr="000B52EA">
        <w:rPr>
          <w:rFonts w:ascii="Times New Roman" w:eastAsia="Times New Roman" w:hAnsi="Times New Roman" w:cs="Times New Roman"/>
          <w:b/>
          <w:bCs/>
          <w:color w:val="auto"/>
          <w:lang w:val="en-US"/>
        </w:rPr>
        <w:t>The text of the new ve</w:t>
      </w:r>
      <w:r w:rsidRPr="000B52EA">
        <w:rPr>
          <w:rFonts w:ascii="Times New Roman" w:eastAsia="Times New Roman" w:hAnsi="Times New Roman" w:cs="Times New Roman"/>
          <w:b/>
          <w:bCs/>
          <w:color w:val="auto"/>
          <w:lang w:val="en-US"/>
        </w:rPr>
        <w:t>rsion of amendments (with specifying of sections, items, paragraphs):</w:t>
      </w:r>
    </w:p>
    <w:p w:rsidR="000B52EA" w:rsidRPr="000B52EA" w:rsidRDefault="00F93D3E" w:rsidP="000B52EA">
      <w:pPr>
        <w:widowControl/>
        <w:spacing w:after="240"/>
        <w:jc w:val="both"/>
        <w:rPr>
          <w:rFonts w:ascii="Times New Roman" w:eastAsia="Times New Roman" w:hAnsi="Times New Roman" w:cs="Times New Roman"/>
          <w:color w:val="auto"/>
        </w:rPr>
      </w:pPr>
      <w:r w:rsidRPr="000B52EA">
        <w:rPr>
          <w:rFonts w:ascii="Times New Roman" w:eastAsia="Times New Roman" w:hAnsi="Times New Roman" w:cs="Times New Roman"/>
          <w:color w:val="auto"/>
          <w:lang w:val="en-US"/>
        </w:rPr>
        <w:t>Paragraph 10, sub-item «Securities Placement Procedure» of item b) «Main information of securities Placed by the Issuer, in respect of which prospectus is Registered», INTRODUCTION of th</w:t>
      </w:r>
      <w:r w:rsidRPr="000B52EA">
        <w:rPr>
          <w:rFonts w:ascii="Times New Roman" w:eastAsia="Times New Roman" w:hAnsi="Times New Roman" w:cs="Times New Roman"/>
          <w:color w:val="auto"/>
          <w:lang w:val="en-US"/>
        </w:rPr>
        <w:t>e Securities Prospectus:</w:t>
      </w:r>
    </w:p>
    <w:p w:rsidR="000B52EA" w:rsidRPr="00487265" w:rsidRDefault="00F93D3E" w:rsidP="000B52EA">
      <w:pPr>
        <w:widowControl/>
        <w:spacing w:after="240"/>
        <w:jc w:val="both"/>
        <w:rPr>
          <w:rFonts w:ascii="Times New Roman" w:eastAsia="Times New Roman" w:hAnsi="Times New Roman" w:cs="Times New Roman"/>
          <w:b/>
          <w:bCs/>
          <w:i/>
          <w:iCs/>
          <w:color w:val="auto"/>
          <w:lang w:val="en-US"/>
        </w:rPr>
      </w:pPr>
      <w:r w:rsidRPr="000B52EA">
        <w:rPr>
          <w:rFonts w:ascii="Times New Roman" w:eastAsia="Times New Roman" w:hAnsi="Times New Roman" w:cs="Times New Roman"/>
          <w:b/>
          <w:bCs/>
          <w:i/>
          <w:iCs/>
          <w:color w:val="auto"/>
          <w:lang w:val="en-US"/>
        </w:rPr>
        <w:t>Proposals (offers) for the acquisition of additional shares (further – «Offer») can be submitted to the issuer within 245 (two hundred and forty-five) calendar days from the moment of execution by the issuer of the last of these ac</w:t>
      </w:r>
      <w:r w:rsidRPr="000B52EA">
        <w:rPr>
          <w:rFonts w:ascii="Times New Roman" w:eastAsia="Times New Roman" w:hAnsi="Times New Roman" w:cs="Times New Roman"/>
          <w:b/>
          <w:bCs/>
          <w:i/>
          <w:iCs/>
          <w:color w:val="auto"/>
          <w:lang w:val="en-US"/>
        </w:rPr>
        <w:t>tions: the publication by the issuer of an invitation to make offers in the news feed of the news agency «Interfax», the publication by the issuer of an invitation to make offers on the issuer’s pages on the Internet (</w:t>
      </w:r>
      <w:hyperlink r:id="rId9" w:history="1">
        <w:r w:rsidRPr="000B52EA">
          <w:rPr>
            <w:rFonts w:ascii="Times New Roman" w:eastAsia="Times New Roman" w:hAnsi="Times New Roman" w:cs="Times New Roman"/>
            <w:b/>
            <w:bCs/>
            <w:i/>
            <w:iCs/>
            <w:color w:val="auto"/>
            <w:lang w:val="en-US" w:eastAsia="en-US" w:bidi="en-US"/>
          </w:rPr>
          <w:t>http://www.e-disclosure.ru/portal/company.aspx?id=11999</w:t>
        </w:r>
      </w:hyperlink>
      <w:r w:rsidRPr="000B52EA">
        <w:rPr>
          <w:rFonts w:ascii="Times New Roman" w:eastAsia="Times New Roman" w:hAnsi="Times New Roman" w:cs="Times New Roman"/>
          <w:b/>
          <w:bCs/>
          <w:i/>
          <w:iCs/>
          <w:color w:val="auto"/>
          <w:lang w:val="en-US"/>
        </w:rPr>
        <w:t xml:space="preserve"> and </w:t>
      </w:r>
      <w:hyperlink r:id="rId10" w:history="1">
        <w:r w:rsidRPr="000B52EA">
          <w:rPr>
            <w:rFonts w:ascii="Times New Roman" w:eastAsia="Times New Roman" w:hAnsi="Times New Roman" w:cs="Times New Roman"/>
            <w:b/>
            <w:bCs/>
            <w:i/>
            <w:iCs/>
            <w:color w:val="auto"/>
            <w:lang w:val="en-US" w:eastAsia="en-US" w:bidi="en-US"/>
          </w:rPr>
          <w:t>http://www</w:t>
        </w:r>
      </w:hyperlink>
      <w:r w:rsidRPr="000B52EA">
        <w:rPr>
          <w:rFonts w:ascii="Times New Roman" w:eastAsia="Times New Roman" w:hAnsi="Times New Roman" w:cs="Times New Roman"/>
          <w:b/>
          <w:bCs/>
          <w:i/>
          <w:iCs/>
          <w:color w:val="auto"/>
          <w:lang w:val="en-US"/>
        </w:rPr>
        <w:t>. mrsk-yuga.ru/).</w:t>
      </w:r>
    </w:p>
    <w:p w:rsidR="000B52EA" w:rsidRPr="000B52EA" w:rsidRDefault="00F93D3E" w:rsidP="000B52EA">
      <w:pPr>
        <w:widowControl/>
        <w:jc w:val="both"/>
        <w:rPr>
          <w:rFonts w:ascii="Times New Roman" w:eastAsia="Times New Roman" w:hAnsi="Times New Roman" w:cs="Times New Roman"/>
          <w:b/>
          <w:bCs/>
          <w:color w:val="auto"/>
        </w:rPr>
      </w:pPr>
      <w:r w:rsidRPr="000B52EA">
        <w:rPr>
          <w:rFonts w:ascii="Times New Roman" w:eastAsia="Times New Roman" w:hAnsi="Times New Roman" w:cs="Times New Roman"/>
          <w:b/>
          <w:bCs/>
          <w:color w:val="auto"/>
          <w:lang w:val="en-US"/>
        </w:rPr>
        <w:t>2.</w:t>
      </w:r>
      <w:r w:rsidRPr="000B52EA">
        <w:rPr>
          <w:rFonts w:ascii="Times New Roman" w:eastAsia="Times New Roman" w:hAnsi="Times New Roman" w:cs="Times New Roman"/>
          <w:b/>
          <w:bCs/>
          <w:color w:val="auto"/>
          <w:lang w:val="en-US"/>
        </w:rPr>
        <w:tab/>
        <w:t xml:space="preserve">1. Text of the amended version of the prospectus of securities (with specifying sections, items, </w:t>
      </w:r>
      <w:r w:rsidRPr="000B52EA">
        <w:rPr>
          <w:rFonts w:ascii="Times New Roman" w:eastAsia="Times New Roman" w:hAnsi="Times New Roman" w:cs="Times New Roman"/>
          <w:b/>
          <w:bCs/>
          <w:color w:val="auto"/>
          <w:lang w:val="en-US"/>
        </w:rPr>
        <w:t>paragraphs):</w:t>
      </w:r>
    </w:p>
    <w:p w:rsidR="000B52EA" w:rsidRPr="000B52EA" w:rsidRDefault="00F93D3E" w:rsidP="000B52EA">
      <w:pPr>
        <w:widowControl/>
        <w:spacing w:after="240"/>
        <w:jc w:val="both"/>
        <w:rPr>
          <w:rFonts w:ascii="Times New Roman" w:eastAsia="Times New Roman" w:hAnsi="Times New Roman" w:cs="Times New Roman"/>
          <w:color w:val="auto"/>
        </w:rPr>
      </w:pPr>
      <w:r w:rsidRPr="000B52EA">
        <w:rPr>
          <w:rFonts w:ascii="Times New Roman" w:eastAsia="Times New Roman" w:hAnsi="Times New Roman" w:cs="Times New Roman"/>
          <w:color w:val="auto"/>
          <w:lang w:val="en-US"/>
        </w:rPr>
        <w:t xml:space="preserve">Paragraph «Period, within which can be submitted proposals (offers) to acquire of placed securities» of sub-item 8.8.3. «Securities Placement Procedure» of item 8.8, «Conditions and arrangements of securities’ placement (Additional Issue)» of </w:t>
      </w:r>
      <w:r w:rsidRPr="000B52EA">
        <w:rPr>
          <w:rFonts w:ascii="Times New Roman" w:eastAsia="Times New Roman" w:hAnsi="Times New Roman" w:cs="Times New Roman"/>
          <w:color w:val="auto"/>
          <w:lang w:val="en-US"/>
        </w:rPr>
        <w:t>section VIII. Information on Placed Issue-Grade Securities and the Scope, Volume, Conditions and Procedure for Their Placement, of Securities Prospectus:</w:t>
      </w:r>
    </w:p>
    <w:p w:rsidR="000B52EA" w:rsidRPr="00487265" w:rsidRDefault="00F93D3E" w:rsidP="000B52EA">
      <w:pPr>
        <w:widowControl/>
        <w:spacing w:after="240"/>
        <w:jc w:val="both"/>
        <w:rPr>
          <w:rFonts w:ascii="Times New Roman" w:eastAsia="Times New Roman" w:hAnsi="Times New Roman" w:cs="Times New Roman"/>
          <w:b/>
          <w:bCs/>
          <w:i/>
          <w:iCs/>
          <w:color w:val="auto"/>
          <w:lang w:val="en-US"/>
        </w:rPr>
      </w:pPr>
      <w:r w:rsidRPr="000B52EA">
        <w:rPr>
          <w:rFonts w:ascii="Times New Roman" w:eastAsia="Times New Roman" w:hAnsi="Times New Roman" w:cs="Times New Roman"/>
          <w:color w:val="auto"/>
          <w:lang w:val="en-US"/>
        </w:rPr>
        <w:t xml:space="preserve">Period, within which can be submitted proposals (offers) to acquire of placed securities: </w:t>
      </w:r>
      <w:r w:rsidRPr="000B52EA">
        <w:rPr>
          <w:rFonts w:ascii="Times New Roman" w:eastAsia="Times New Roman" w:hAnsi="Times New Roman" w:cs="Times New Roman"/>
          <w:b/>
          <w:bCs/>
          <w:i/>
          <w:iCs/>
          <w:color w:val="auto"/>
          <w:lang w:val="en-US"/>
        </w:rPr>
        <w:t>Proposals (o</w:t>
      </w:r>
      <w:r w:rsidRPr="000B52EA">
        <w:rPr>
          <w:rFonts w:ascii="Times New Roman" w:eastAsia="Times New Roman" w:hAnsi="Times New Roman" w:cs="Times New Roman"/>
          <w:b/>
          <w:bCs/>
          <w:i/>
          <w:iCs/>
          <w:color w:val="auto"/>
          <w:lang w:val="en-US"/>
        </w:rPr>
        <w:t>ffers) for the acquisition of additional shares (further – «Offer») can be submitted to the issuer within 185 (one hundred and eighty-five) calendar days from the moment of execution by the issuer of the last of these actions: the publication by the issuer</w:t>
      </w:r>
      <w:r w:rsidRPr="000B52EA">
        <w:rPr>
          <w:rFonts w:ascii="Times New Roman" w:eastAsia="Times New Roman" w:hAnsi="Times New Roman" w:cs="Times New Roman"/>
          <w:b/>
          <w:bCs/>
          <w:i/>
          <w:iCs/>
          <w:color w:val="auto"/>
          <w:lang w:val="en-US"/>
        </w:rPr>
        <w:t xml:space="preserve"> of an invitation to make offers in the news feed of the news agency «Interfax», the publication by the issuer of an invitation to make offers on the issuer’s pages on the Internet </w:t>
      </w:r>
      <w:hyperlink r:id="rId11" w:history="1">
        <w:r w:rsidRPr="000B52EA">
          <w:rPr>
            <w:rFonts w:ascii="Times New Roman" w:eastAsia="Times New Roman" w:hAnsi="Times New Roman" w:cs="Times New Roman"/>
            <w:b/>
            <w:bCs/>
            <w:i/>
            <w:iCs/>
            <w:color w:val="auto"/>
            <w:u w:val="single"/>
            <w:lang w:val="en-US" w:eastAsia="en-US" w:bidi="en-US"/>
          </w:rPr>
          <w:t>(http:</w:t>
        </w:r>
        <w:r w:rsidRPr="000B52EA">
          <w:rPr>
            <w:rFonts w:ascii="Times New Roman" w:eastAsia="Times New Roman" w:hAnsi="Times New Roman" w:cs="Times New Roman"/>
            <w:b/>
            <w:bCs/>
            <w:i/>
            <w:iCs/>
            <w:color w:val="auto"/>
            <w:u w:val="single"/>
            <w:lang w:val="en-US" w:eastAsia="en-US" w:bidi="en-US"/>
          </w:rPr>
          <w:t>//www.e-</w:t>
        </w:r>
      </w:hyperlink>
      <w:r w:rsidRPr="000B52EA">
        <w:rPr>
          <w:rFonts w:ascii="Times New Roman" w:eastAsia="Times New Roman" w:hAnsi="Times New Roman" w:cs="Times New Roman"/>
          <w:b/>
          <w:bCs/>
          <w:i/>
          <w:iCs/>
          <w:color w:val="auto"/>
          <w:lang w:val="en-US"/>
        </w:rPr>
        <w:t xml:space="preserve"> </w:t>
      </w:r>
      <w:hyperlink r:id="rId12" w:history="1">
        <w:r w:rsidRPr="000B52EA">
          <w:rPr>
            <w:rFonts w:ascii="Times New Roman" w:eastAsia="Times New Roman" w:hAnsi="Times New Roman" w:cs="Times New Roman"/>
            <w:b/>
            <w:bCs/>
            <w:i/>
            <w:iCs/>
            <w:color w:val="auto"/>
            <w:u w:val="single"/>
            <w:lang w:val="en-US" w:eastAsia="en-US" w:bidi="en-US"/>
          </w:rPr>
          <w:t>disclosure.ru/portal/company.aspx?id=11999</w:t>
        </w:r>
      </w:hyperlink>
      <w:r w:rsidRPr="000B52EA">
        <w:rPr>
          <w:rFonts w:ascii="Times New Roman" w:eastAsia="Times New Roman" w:hAnsi="Times New Roman" w:cs="Times New Roman"/>
          <w:b/>
          <w:bCs/>
          <w:i/>
          <w:iCs/>
          <w:color w:val="auto"/>
          <w:lang w:val="en-US"/>
        </w:rPr>
        <w:t xml:space="preserve"> and </w:t>
      </w:r>
      <w:hyperlink r:id="rId13" w:history="1">
        <w:r w:rsidRPr="000B52EA">
          <w:rPr>
            <w:rFonts w:ascii="Times New Roman" w:eastAsia="Times New Roman" w:hAnsi="Times New Roman" w:cs="Times New Roman"/>
            <w:b/>
            <w:bCs/>
            <w:i/>
            <w:iCs/>
            <w:color w:val="auto"/>
            <w:u w:val="single"/>
            <w:lang w:val="en-US" w:eastAsia="en-US" w:bidi="en-US"/>
          </w:rPr>
          <w:t>http://www.mrsk-yu8a.ru/)</w:t>
        </w:r>
      </w:hyperlink>
      <w:r w:rsidRPr="000B52EA">
        <w:rPr>
          <w:rFonts w:ascii="Times New Roman" w:eastAsia="Times New Roman" w:hAnsi="Times New Roman" w:cs="Times New Roman"/>
          <w:b/>
          <w:bCs/>
          <w:i/>
          <w:iCs/>
          <w:color w:val="auto"/>
          <w:lang w:val="en-US"/>
        </w:rPr>
        <w:t>.</w:t>
      </w:r>
    </w:p>
    <w:p w:rsidR="000B52EA" w:rsidRPr="000B52EA" w:rsidRDefault="00F93D3E" w:rsidP="000B52EA">
      <w:pPr>
        <w:widowControl/>
        <w:jc w:val="both"/>
        <w:rPr>
          <w:rFonts w:ascii="Times New Roman" w:eastAsia="Times New Roman" w:hAnsi="Times New Roman" w:cs="Times New Roman"/>
          <w:b/>
          <w:bCs/>
          <w:color w:val="auto"/>
        </w:rPr>
      </w:pPr>
      <w:r w:rsidRPr="000B52EA">
        <w:rPr>
          <w:rFonts w:ascii="Times New Roman" w:eastAsia="Times New Roman" w:hAnsi="Times New Roman" w:cs="Times New Roman"/>
          <w:b/>
          <w:bCs/>
          <w:color w:val="auto"/>
          <w:lang w:val="en-US"/>
        </w:rPr>
        <w:t xml:space="preserve">The text of the new version of amendments (with </w:t>
      </w:r>
      <w:r w:rsidRPr="000B52EA">
        <w:rPr>
          <w:rFonts w:ascii="Times New Roman" w:eastAsia="Times New Roman" w:hAnsi="Times New Roman" w:cs="Times New Roman"/>
          <w:b/>
          <w:bCs/>
          <w:color w:val="auto"/>
          <w:lang w:val="en-US"/>
        </w:rPr>
        <w:t>specifying of sections, items, paragraphs):</w:t>
      </w:r>
    </w:p>
    <w:p w:rsidR="000B52EA" w:rsidRPr="000B52EA" w:rsidRDefault="00F93D3E" w:rsidP="000B52EA">
      <w:pPr>
        <w:widowControl/>
        <w:spacing w:after="240"/>
        <w:jc w:val="both"/>
        <w:rPr>
          <w:rFonts w:ascii="Times New Roman" w:eastAsia="Times New Roman" w:hAnsi="Times New Roman" w:cs="Times New Roman"/>
          <w:color w:val="auto"/>
        </w:rPr>
      </w:pPr>
      <w:r w:rsidRPr="000B52EA">
        <w:rPr>
          <w:rFonts w:ascii="Times New Roman" w:eastAsia="Times New Roman" w:hAnsi="Times New Roman" w:cs="Times New Roman"/>
          <w:color w:val="auto"/>
          <w:lang w:val="en-US"/>
        </w:rPr>
        <w:t>Paragraph «Period, within which can be submitted proposals (offers) to acquire of placed securities» of sub-item 8.8.3. «Securities Placement Procedure» of item 8.8, «Conditions and arrangements of securities’ pl</w:t>
      </w:r>
      <w:r w:rsidRPr="000B52EA">
        <w:rPr>
          <w:rFonts w:ascii="Times New Roman" w:eastAsia="Times New Roman" w:hAnsi="Times New Roman" w:cs="Times New Roman"/>
          <w:color w:val="auto"/>
          <w:lang w:val="en-US"/>
        </w:rPr>
        <w:t>acement (Additional Issue)» of section VIII. Information on Placed Issue-Grade Securities and the Scope, Volume, Conditions and Procedure for Their Placement, of Securities Prospectus:</w:t>
      </w:r>
    </w:p>
    <w:p w:rsidR="000B52EA" w:rsidRPr="00487265" w:rsidRDefault="00F93D3E" w:rsidP="000B52EA">
      <w:pPr>
        <w:widowControl/>
        <w:jc w:val="both"/>
        <w:rPr>
          <w:rFonts w:ascii="Times New Roman" w:eastAsia="Times New Roman" w:hAnsi="Times New Roman" w:cs="Times New Roman"/>
          <w:b/>
          <w:bCs/>
          <w:i/>
          <w:iCs/>
          <w:color w:val="auto"/>
          <w:lang w:val="en-US"/>
        </w:rPr>
      </w:pPr>
      <w:r w:rsidRPr="000B52EA">
        <w:rPr>
          <w:rFonts w:ascii="Times New Roman" w:eastAsia="Times New Roman" w:hAnsi="Times New Roman" w:cs="Times New Roman"/>
          <w:color w:val="auto"/>
          <w:lang w:val="en-US"/>
        </w:rPr>
        <w:t xml:space="preserve">Period, within which can be submitted proposals (offers) to acquire of </w:t>
      </w:r>
      <w:r w:rsidRPr="000B52EA">
        <w:rPr>
          <w:rFonts w:ascii="Times New Roman" w:eastAsia="Times New Roman" w:hAnsi="Times New Roman" w:cs="Times New Roman"/>
          <w:color w:val="auto"/>
          <w:lang w:val="en-US"/>
        </w:rPr>
        <w:t xml:space="preserve">placed securities: </w:t>
      </w:r>
      <w:r w:rsidRPr="000B52EA">
        <w:rPr>
          <w:rFonts w:ascii="Times New Roman" w:eastAsia="Times New Roman" w:hAnsi="Times New Roman" w:cs="Times New Roman"/>
          <w:b/>
          <w:bCs/>
          <w:i/>
          <w:iCs/>
          <w:color w:val="auto"/>
          <w:lang w:val="en-US"/>
        </w:rPr>
        <w:t xml:space="preserve">Proposals (offers) for the acquisition of additional shares (further – «Offer») can be submitted to the issuer within 245 (two hundred and forty-five) calendar days from the moment of execution by the issuer of </w:t>
      </w:r>
      <w:r w:rsidRPr="000B52EA">
        <w:rPr>
          <w:rFonts w:ascii="Times New Roman" w:eastAsia="Times New Roman" w:hAnsi="Times New Roman" w:cs="Times New Roman"/>
          <w:b/>
          <w:bCs/>
          <w:i/>
          <w:iCs/>
          <w:color w:val="auto"/>
          <w:lang w:val="en-US"/>
        </w:rPr>
        <w:lastRenderedPageBreak/>
        <w:t>the last of these actions:</w:t>
      </w:r>
      <w:r w:rsidRPr="000B52EA">
        <w:rPr>
          <w:rFonts w:ascii="Times New Roman" w:eastAsia="Times New Roman" w:hAnsi="Times New Roman" w:cs="Times New Roman"/>
          <w:b/>
          <w:bCs/>
          <w:i/>
          <w:iCs/>
          <w:color w:val="auto"/>
          <w:lang w:val="en-US"/>
        </w:rPr>
        <w:t xml:space="preserve"> the publication by the issuer of an invitation to make offers in the news feed of the news agency «Interfax», the publication by the issuer of an invitation to make offers on the issuer’s pages on the Internet </w:t>
      </w:r>
      <w:hyperlink r:id="rId14" w:history="1">
        <w:r w:rsidRPr="000B52EA">
          <w:rPr>
            <w:rFonts w:ascii="Times New Roman" w:eastAsia="Times New Roman" w:hAnsi="Times New Roman" w:cs="Times New Roman"/>
            <w:b/>
            <w:bCs/>
            <w:i/>
            <w:iCs/>
            <w:color w:val="auto"/>
            <w:u w:val="single"/>
            <w:lang w:val="en-US" w:eastAsia="en-US" w:bidi="en-US"/>
          </w:rPr>
          <w:t>(http://www.e-</w:t>
        </w:r>
      </w:hyperlink>
      <w:hyperlink r:id="rId15" w:history="1">
        <w:r w:rsidRPr="000B52EA">
          <w:rPr>
            <w:rFonts w:ascii="Times New Roman" w:eastAsia="Times New Roman" w:hAnsi="Times New Roman" w:cs="Times New Roman"/>
            <w:b/>
            <w:bCs/>
            <w:i/>
            <w:iCs/>
            <w:color w:val="auto"/>
            <w:u w:val="single"/>
            <w:lang w:val="en-US" w:eastAsia="en-US" w:bidi="en-US"/>
          </w:rPr>
          <w:t>disclosure.ru/portal/company.aspx?id=11999</w:t>
        </w:r>
      </w:hyperlink>
      <w:r w:rsidRPr="000B52EA">
        <w:rPr>
          <w:rFonts w:ascii="Times New Roman" w:eastAsia="Times New Roman" w:hAnsi="Times New Roman" w:cs="Times New Roman"/>
          <w:b/>
          <w:bCs/>
          <w:i/>
          <w:iCs/>
          <w:color w:val="auto"/>
          <w:lang w:val="en-US"/>
        </w:rPr>
        <w:t xml:space="preserve"> and </w:t>
      </w:r>
      <w:hyperlink r:id="rId16" w:history="1">
        <w:r w:rsidRPr="000B52EA">
          <w:rPr>
            <w:rFonts w:ascii="Times New Roman" w:eastAsia="Times New Roman" w:hAnsi="Times New Roman" w:cs="Times New Roman"/>
            <w:b/>
            <w:bCs/>
            <w:i/>
            <w:iCs/>
            <w:color w:val="auto"/>
            <w:u w:val="single"/>
            <w:lang w:val="en-US" w:eastAsia="en-US" w:bidi="en-US"/>
          </w:rPr>
          <w:t>http://www.mrsk-yuea.ru/)</w:t>
        </w:r>
      </w:hyperlink>
      <w:r w:rsidRPr="000B52EA">
        <w:rPr>
          <w:rFonts w:ascii="Times New Roman" w:eastAsia="Times New Roman" w:hAnsi="Times New Roman" w:cs="Times New Roman"/>
          <w:b/>
          <w:bCs/>
          <w:i/>
          <w:iCs/>
          <w:color w:val="auto"/>
          <w:lang w:val="en-US"/>
        </w:rPr>
        <w:t>.</w:t>
      </w:r>
    </w:p>
    <w:p w:rsidR="001B1C35" w:rsidRPr="000B52EA" w:rsidRDefault="00F93D3E" w:rsidP="00240C44">
      <w:pPr>
        <w:widowControl/>
        <w:jc w:val="both"/>
        <w:rPr>
          <w:rFonts w:ascii="Times New Roman" w:eastAsia="Times New Roman" w:hAnsi="Times New Roman" w:cs="Times New Roman"/>
          <w:b/>
          <w:bCs/>
          <w:i/>
          <w:iCs/>
          <w:color w:val="auto"/>
        </w:rPr>
      </w:pPr>
      <w:r w:rsidRPr="000B52EA">
        <w:rPr>
          <w:rFonts w:ascii="Times New Roman" w:eastAsia="Times New Roman" w:hAnsi="Times New Roman" w:cs="Times New Roman"/>
          <w:b/>
          <w:bCs/>
          <w:i/>
          <w:iCs/>
          <w:color w:val="auto"/>
          <w:lang w:val="en-US"/>
        </w:rPr>
        <w:t>).</w:t>
      </w:r>
    </w:p>
    <w:sectPr w:rsidR="001B1C35" w:rsidRPr="000B52EA" w:rsidSect="001B1C35">
      <w:footerReference w:type="default" r:id="rId17"/>
      <w:pgSz w:w="12240" w:h="15840"/>
      <w:pgMar w:top="851" w:right="851" w:bottom="851" w:left="1418"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3E" w:rsidRDefault="00F93D3E">
      <w:r>
        <w:separator/>
      </w:r>
    </w:p>
  </w:endnote>
  <w:endnote w:type="continuationSeparator" w:id="0">
    <w:p w:rsidR="00F93D3E" w:rsidRDefault="00F9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left w:w="10" w:type="dxa"/>
        <w:right w:w="10" w:type="dxa"/>
      </w:tblCellMar>
      <w:tblLook w:val="04A0" w:firstRow="1" w:lastRow="0" w:firstColumn="1" w:lastColumn="0" w:noHBand="0" w:noVBand="1"/>
    </w:tblPr>
    <w:tblGrid>
      <w:gridCol w:w="9991"/>
    </w:tblGrid>
    <w:tr w:rsidR="006D7B18" w:rsidTr="00BD0829">
      <w:trPr>
        <w:trHeight w:val="20"/>
      </w:trPr>
      <w:tc>
        <w:tcPr>
          <w:tcW w:w="5000" w:type="pct"/>
          <w:shd w:val="clear" w:color="auto" w:fill="FFFFFF"/>
        </w:tcPr>
        <w:p w:rsidR="000B52EA" w:rsidRPr="00240C44" w:rsidRDefault="00F93D3E" w:rsidP="000B52EA">
          <w:pPr>
            <w:widowControl/>
            <w:jc w:val="right"/>
            <w:rPr>
              <w:rFonts w:ascii="Times New Roman" w:eastAsia="Times New Roman" w:hAnsi="Times New Roman" w:cs="Times New Roman"/>
              <w:b/>
              <w:bCs/>
              <w:i/>
              <w:iCs/>
              <w:color w:val="auto"/>
              <w:sz w:val="18"/>
              <w:szCs w:val="18"/>
            </w:rPr>
          </w:pPr>
          <w:r w:rsidRPr="001B1C35">
            <w:rPr>
              <w:rFonts w:ascii="Times New Roman" w:eastAsia="Times New Roman" w:hAnsi="Times New Roman" w:cs="Times New Roman"/>
              <w:color w:val="auto"/>
              <w:sz w:val="18"/>
              <w:szCs w:val="18"/>
            </w:rPr>
            <w:fldChar w:fldCharType="begin"/>
          </w:r>
          <w:r w:rsidRPr="001B1C35">
            <w:rPr>
              <w:rFonts w:ascii="Times New Roman" w:eastAsia="Times New Roman" w:hAnsi="Times New Roman" w:cs="Times New Roman"/>
              <w:color w:val="auto"/>
              <w:sz w:val="18"/>
              <w:szCs w:val="18"/>
            </w:rPr>
            <w:instrText>PAGE   \* MERGEFORMAT</w:instrText>
          </w:r>
          <w:r w:rsidRPr="001B1C35">
            <w:rPr>
              <w:rFonts w:ascii="Times New Roman" w:eastAsia="Times New Roman" w:hAnsi="Times New Roman" w:cs="Times New Roman"/>
              <w:color w:val="auto"/>
              <w:sz w:val="18"/>
              <w:szCs w:val="18"/>
            </w:rPr>
            <w:fldChar w:fldCharType="separate"/>
          </w:r>
          <w:r w:rsidR="00487265">
            <w:rPr>
              <w:rFonts w:ascii="Times New Roman" w:eastAsia="Times New Roman" w:hAnsi="Times New Roman" w:cs="Times New Roman"/>
              <w:noProof/>
              <w:color w:val="auto"/>
              <w:sz w:val="18"/>
              <w:szCs w:val="18"/>
            </w:rPr>
            <w:t>3</w:t>
          </w:r>
          <w:r w:rsidRPr="001B1C35">
            <w:rPr>
              <w:rFonts w:ascii="Times New Roman" w:eastAsia="Times New Roman" w:hAnsi="Times New Roman" w:cs="Times New Roman"/>
              <w:color w:val="auto"/>
              <w:sz w:val="18"/>
              <w:szCs w:val="18"/>
            </w:rPr>
            <w:fldChar w:fldCharType="end"/>
          </w:r>
        </w:p>
      </w:tc>
    </w:tr>
  </w:tbl>
  <w:p w:rsidR="000B52EA" w:rsidRDefault="00F93D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3E" w:rsidRDefault="00F93D3E">
      <w:r>
        <w:separator/>
      </w:r>
    </w:p>
  </w:footnote>
  <w:footnote w:type="continuationSeparator" w:id="0">
    <w:p w:rsidR="00F93D3E" w:rsidRDefault="00F9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18"/>
    <w:rsid w:val="00487265"/>
    <w:rsid w:val="006D7B18"/>
    <w:rsid w:val="00F93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Pr>
      <w:rFonts w:ascii="Times New Roman" w:eastAsia="Times New Roman" w:hAnsi="Times New Roman" w:cs="Times New Roman"/>
      <w:b/>
      <w:bCs/>
      <w:i/>
      <w:iCs/>
      <w:smallCaps w:val="0"/>
      <w:strike w:val="0"/>
      <w:u w:val="none"/>
    </w:rPr>
  </w:style>
  <w:style w:type="character" w:customStyle="1" w:styleId="20">
    <w:name w:val="Основной текст (2) + Не полужирный"/>
    <w:aliases w:val="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19pt">
    <w:name w:val="Основной текст (2) + 19 pt"/>
    <w:aliases w:val="Не курсив_0,Не полужирный"/>
    <w:basedOn w:val="2"/>
    <w:rPr>
      <w:rFonts w:ascii="Times New Roman" w:eastAsia="Times New Roman" w:hAnsi="Times New Roman" w:cs="Times New Roman"/>
      <w:b/>
      <w:bCs/>
      <w:i/>
      <w:iCs/>
      <w:smallCaps w:val="0"/>
      <w:strike w:val="0"/>
      <w:color w:val="000000"/>
      <w:spacing w:val="0"/>
      <w:w w:val="100"/>
      <w:position w:val="0"/>
      <w:sz w:val="38"/>
      <w:szCs w:val="38"/>
      <w:u w:val="none"/>
      <w:lang w:val="en-US" w:eastAsia="en-US" w:bidi="en-US"/>
    </w:rPr>
  </w:style>
  <w:style w:type="character" w:customStyle="1" w:styleId="25">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00">
    <w:name w:val="Основной текст (2) + Не полужирный_0"/>
    <w:aliases w:val="Не курсив_1"/>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1">
    <w:name w:val="Основной текст (2)_0"/>
    <w:basedOn w:val="2"/>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28">
    <w:name w:val="Основной текст (2) + 8"/>
    <w:aliases w:val="5 pt,Не курсив_2,Не полужирный_0"/>
    <w:basedOn w:val="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paragraph" w:customStyle="1" w:styleId="21">
    <w:name w:val="Основной текст (2)_1"/>
    <w:basedOn w:val="a"/>
    <w:link w:val="2"/>
    <w:pPr>
      <w:shd w:val="clear" w:color="auto" w:fill="FFFFFF"/>
      <w:spacing w:line="274" w:lineRule="exact"/>
      <w:jc w:val="center"/>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0" w:lineRule="atLeast"/>
      <w:jc w:val="center"/>
      <w:outlineLvl w:val="1"/>
    </w:pPr>
    <w:rPr>
      <w:rFonts w:ascii="Times New Roman" w:eastAsia="Times New Roman" w:hAnsi="Times New Roman" w:cs="Times New Roman"/>
      <w:b/>
      <w:bCs/>
      <w:i/>
      <w:iCs/>
      <w:sz w:val="28"/>
      <w:szCs w:val="28"/>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83" w:lineRule="exact"/>
      <w:jc w:val="both"/>
    </w:pPr>
    <w:rPr>
      <w:rFonts w:ascii="Times New Roman" w:eastAsia="Times New Roman" w:hAnsi="Times New Roman" w:cs="Times New Roman"/>
      <w:b/>
      <w:bCs/>
    </w:rPr>
  </w:style>
  <w:style w:type="paragraph" w:styleId="a5">
    <w:name w:val="header"/>
    <w:basedOn w:val="a"/>
    <w:link w:val="a6"/>
    <w:uiPriority w:val="99"/>
    <w:unhideWhenUsed/>
    <w:rsid w:val="001B1C35"/>
    <w:pPr>
      <w:tabs>
        <w:tab w:val="center" w:pos="4844"/>
        <w:tab w:val="right" w:pos="9689"/>
      </w:tabs>
    </w:pPr>
  </w:style>
  <w:style w:type="character" w:customStyle="1" w:styleId="a6">
    <w:name w:val="Верхний колонтитул Знак"/>
    <w:basedOn w:val="a0"/>
    <w:link w:val="a5"/>
    <w:uiPriority w:val="99"/>
    <w:rsid w:val="001B1C35"/>
    <w:rPr>
      <w:color w:val="000000"/>
    </w:rPr>
  </w:style>
  <w:style w:type="paragraph" w:styleId="a7">
    <w:name w:val="footer"/>
    <w:basedOn w:val="a"/>
    <w:link w:val="a8"/>
    <w:uiPriority w:val="99"/>
    <w:unhideWhenUsed/>
    <w:rsid w:val="001B1C35"/>
    <w:pPr>
      <w:tabs>
        <w:tab w:val="center" w:pos="4844"/>
        <w:tab w:val="right" w:pos="9689"/>
      </w:tabs>
    </w:pPr>
  </w:style>
  <w:style w:type="character" w:customStyle="1" w:styleId="a8">
    <w:name w:val="Нижний колонтитул Знак"/>
    <w:basedOn w:val="a0"/>
    <w:link w:val="a7"/>
    <w:uiPriority w:val="99"/>
    <w:rsid w:val="001B1C3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Pr>
      <w:rFonts w:ascii="Times New Roman" w:eastAsia="Times New Roman" w:hAnsi="Times New Roman" w:cs="Times New Roman"/>
      <w:b/>
      <w:bCs/>
      <w:i/>
      <w:iCs/>
      <w:smallCaps w:val="0"/>
      <w:strike w:val="0"/>
      <w:u w:val="none"/>
    </w:rPr>
  </w:style>
  <w:style w:type="character" w:customStyle="1" w:styleId="20">
    <w:name w:val="Основной текст (2) + Не полужирный"/>
    <w:aliases w:val="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19pt">
    <w:name w:val="Основной текст (2) + 19 pt"/>
    <w:aliases w:val="Не курсив_0,Не полужирный"/>
    <w:basedOn w:val="2"/>
    <w:rPr>
      <w:rFonts w:ascii="Times New Roman" w:eastAsia="Times New Roman" w:hAnsi="Times New Roman" w:cs="Times New Roman"/>
      <w:b/>
      <w:bCs/>
      <w:i/>
      <w:iCs/>
      <w:smallCaps w:val="0"/>
      <w:strike w:val="0"/>
      <w:color w:val="000000"/>
      <w:spacing w:val="0"/>
      <w:w w:val="100"/>
      <w:position w:val="0"/>
      <w:sz w:val="38"/>
      <w:szCs w:val="38"/>
      <w:u w:val="none"/>
      <w:lang w:val="en-US" w:eastAsia="en-US" w:bidi="en-US"/>
    </w:rPr>
  </w:style>
  <w:style w:type="character" w:customStyle="1" w:styleId="25">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00">
    <w:name w:val="Основной текст (2) + Не полужирный_0"/>
    <w:aliases w:val="Не курсив_1"/>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1">
    <w:name w:val="Основной текст (2)_0"/>
    <w:basedOn w:val="2"/>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28">
    <w:name w:val="Основной текст (2) + 8"/>
    <w:aliases w:val="5 pt,Не курсив_2,Не полужирный_0"/>
    <w:basedOn w:val="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paragraph" w:customStyle="1" w:styleId="21">
    <w:name w:val="Основной текст (2)_1"/>
    <w:basedOn w:val="a"/>
    <w:link w:val="2"/>
    <w:pPr>
      <w:shd w:val="clear" w:color="auto" w:fill="FFFFFF"/>
      <w:spacing w:line="274" w:lineRule="exact"/>
      <w:jc w:val="center"/>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0" w:lineRule="atLeast"/>
      <w:jc w:val="center"/>
      <w:outlineLvl w:val="1"/>
    </w:pPr>
    <w:rPr>
      <w:rFonts w:ascii="Times New Roman" w:eastAsia="Times New Roman" w:hAnsi="Times New Roman" w:cs="Times New Roman"/>
      <w:b/>
      <w:bCs/>
      <w:i/>
      <w:iCs/>
      <w:sz w:val="28"/>
      <w:szCs w:val="28"/>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83" w:lineRule="exact"/>
      <w:jc w:val="both"/>
    </w:pPr>
    <w:rPr>
      <w:rFonts w:ascii="Times New Roman" w:eastAsia="Times New Roman" w:hAnsi="Times New Roman" w:cs="Times New Roman"/>
      <w:b/>
      <w:bCs/>
    </w:rPr>
  </w:style>
  <w:style w:type="paragraph" w:styleId="a5">
    <w:name w:val="header"/>
    <w:basedOn w:val="a"/>
    <w:link w:val="a6"/>
    <w:uiPriority w:val="99"/>
    <w:unhideWhenUsed/>
    <w:rsid w:val="001B1C35"/>
    <w:pPr>
      <w:tabs>
        <w:tab w:val="center" w:pos="4844"/>
        <w:tab w:val="right" w:pos="9689"/>
      </w:tabs>
    </w:pPr>
  </w:style>
  <w:style w:type="character" w:customStyle="1" w:styleId="a6">
    <w:name w:val="Верхний колонтитул Знак"/>
    <w:basedOn w:val="a0"/>
    <w:link w:val="a5"/>
    <w:uiPriority w:val="99"/>
    <w:rsid w:val="001B1C35"/>
    <w:rPr>
      <w:color w:val="000000"/>
    </w:rPr>
  </w:style>
  <w:style w:type="paragraph" w:styleId="a7">
    <w:name w:val="footer"/>
    <w:basedOn w:val="a"/>
    <w:link w:val="a8"/>
    <w:uiPriority w:val="99"/>
    <w:unhideWhenUsed/>
    <w:rsid w:val="001B1C35"/>
    <w:pPr>
      <w:tabs>
        <w:tab w:val="center" w:pos="4844"/>
        <w:tab w:val="right" w:pos="9689"/>
      </w:tabs>
    </w:pPr>
  </w:style>
  <w:style w:type="character" w:customStyle="1" w:styleId="a8">
    <w:name w:val="Нижний колонтитул Знак"/>
    <w:basedOn w:val="a0"/>
    <w:link w:val="a7"/>
    <w:uiPriority w:val="99"/>
    <w:rsid w:val="001B1C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hyperlink" Target="http://www.mrsk-yug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hyperlink" Target="http://www.e-disclosure.ru/portal/company.aspx?id=11999"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mrsk-yuga.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disclosure.ru/portal/company.aspx?id=11999" TargetMode="External"/><Relationship Id="rId5" Type="http://schemas.openxmlformats.org/officeDocument/2006/relationships/footnotes" Target="footnotes.xml"/><Relationship Id="rId15" Type="http://schemas.openxmlformats.org/officeDocument/2006/relationships/hyperlink" Target="http://www.e-disclosure.ru/portal/company.aspx?id=11999" TargetMode="External"/><Relationship Id="rId10" Type="http://schemas.openxmlformats.org/officeDocument/2006/relationships/hyperlink" Target="http://w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Зарегистрировано   "___" ___________ 200 _ г</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"___" ___________ 200 _ г</dc:title>
  <dc:creator>Пользователь Windows</dc:creator>
  <cp:lastModifiedBy>Горлов Алексей Михайлович</cp:lastModifiedBy>
  <cp:revision>5</cp:revision>
  <dcterms:created xsi:type="dcterms:W3CDTF">2018-03-15T08:35:00Z</dcterms:created>
  <dcterms:modified xsi:type="dcterms:W3CDTF">2018-04-19T09:36:00Z</dcterms:modified>
</cp:coreProperties>
</file>